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年度中国医药会计学会医药财务政策分会研究课题招标方向与研究内容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782"/>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2" w:type="dxa"/>
            <w:vAlign w:val="center"/>
          </w:tcPr>
          <w:p>
            <w:pPr>
              <w:spacing w:line="312" w:lineRule="auto"/>
              <w:jc w:val="center"/>
              <w:rPr>
                <w:rFonts w:ascii="宋体" w:hAnsi="宋体" w:eastAsia="宋体" w:cs="宋体"/>
                <w:b/>
                <w:bCs/>
                <w:sz w:val="24"/>
              </w:rPr>
            </w:pPr>
            <w:r>
              <w:rPr>
                <w:rFonts w:hint="eastAsia" w:ascii="宋体" w:hAnsi="宋体" w:eastAsia="宋体" w:cs="宋体"/>
                <w:b/>
                <w:bCs/>
                <w:sz w:val="24"/>
              </w:rPr>
              <w:t>序号</w:t>
            </w:r>
          </w:p>
        </w:tc>
        <w:tc>
          <w:tcPr>
            <w:tcW w:w="2782" w:type="dxa"/>
            <w:vAlign w:val="center"/>
          </w:tcPr>
          <w:p>
            <w:pPr>
              <w:spacing w:line="312" w:lineRule="auto"/>
              <w:jc w:val="center"/>
              <w:rPr>
                <w:rFonts w:ascii="宋体" w:hAnsi="宋体" w:eastAsia="宋体" w:cs="宋体"/>
                <w:b/>
                <w:bCs/>
                <w:sz w:val="24"/>
              </w:rPr>
            </w:pPr>
            <w:r>
              <w:rPr>
                <w:rFonts w:hint="eastAsia" w:ascii="宋体" w:hAnsi="宋体" w:eastAsia="宋体" w:cs="宋体"/>
                <w:b/>
                <w:bCs/>
                <w:sz w:val="24"/>
              </w:rPr>
              <w:t>招标方向</w:t>
            </w:r>
          </w:p>
        </w:tc>
        <w:tc>
          <w:tcPr>
            <w:tcW w:w="10540" w:type="dxa"/>
            <w:vAlign w:val="center"/>
          </w:tcPr>
          <w:p>
            <w:pPr>
              <w:spacing w:line="312" w:lineRule="auto"/>
              <w:jc w:val="center"/>
              <w:rPr>
                <w:rFonts w:ascii="宋体" w:hAnsi="宋体" w:eastAsia="宋体" w:cs="宋体"/>
                <w:b/>
                <w:bCs/>
                <w:sz w:val="24"/>
              </w:rPr>
            </w:pPr>
            <w:r>
              <w:rPr>
                <w:rFonts w:hint="eastAsia" w:ascii="宋体" w:hAnsi="宋体" w:eastAsia="宋体" w:cs="宋体"/>
                <w:b/>
                <w:bCs/>
                <w:sz w:val="24"/>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52" w:type="dxa"/>
            <w:vAlign w:val="center"/>
          </w:tcPr>
          <w:p>
            <w:pPr>
              <w:spacing w:line="312" w:lineRule="auto"/>
              <w:jc w:val="center"/>
              <w:rPr>
                <w:rFonts w:ascii="宋体" w:hAnsi="宋体" w:eastAsia="宋体" w:cs="宋体"/>
                <w:sz w:val="24"/>
              </w:rPr>
            </w:pPr>
            <w:r>
              <w:rPr>
                <w:rFonts w:hint="eastAsia" w:ascii="宋体" w:hAnsi="宋体" w:eastAsia="宋体" w:cs="宋体"/>
                <w:sz w:val="24"/>
              </w:rPr>
              <w:t>1</w:t>
            </w:r>
          </w:p>
        </w:tc>
        <w:tc>
          <w:tcPr>
            <w:tcW w:w="2782" w:type="dxa"/>
            <w:vAlign w:val="center"/>
          </w:tcPr>
          <w:p>
            <w:pPr>
              <w:spacing w:line="312" w:lineRule="auto"/>
              <w:jc w:val="left"/>
              <w:rPr>
                <w:rFonts w:ascii="宋体" w:hAnsi="宋体" w:eastAsia="宋体" w:cs="宋体"/>
                <w:sz w:val="24"/>
              </w:rPr>
            </w:pPr>
            <w:r>
              <w:rPr>
                <w:rFonts w:hint="eastAsia" w:ascii="宋体" w:hAnsi="宋体" w:eastAsia="宋体" w:cs="宋体"/>
                <w:sz w:val="24"/>
              </w:rPr>
              <w:t>医药卫生事业高质量发展研究方向</w:t>
            </w:r>
          </w:p>
        </w:tc>
        <w:tc>
          <w:tcPr>
            <w:tcW w:w="10540" w:type="dxa"/>
            <w:vAlign w:val="center"/>
          </w:tcPr>
          <w:p>
            <w:pPr>
              <w:spacing w:line="312" w:lineRule="auto"/>
              <w:rPr>
                <w:rFonts w:ascii="宋体" w:hAnsi="宋体" w:eastAsia="宋体" w:cs="宋体"/>
                <w:b/>
                <w:bCs/>
                <w:sz w:val="24"/>
              </w:rPr>
            </w:pPr>
            <w:r>
              <w:rPr>
                <w:rFonts w:hint="eastAsia" w:ascii="宋体" w:hAnsi="宋体" w:eastAsia="宋体" w:cs="宋体"/>
                <w:sz w:val="24"/>
              </w:rPr>
              <w:t>主要在构建医药卫生事业高质量发展新体系、引领医药卫生事业高质量发展新趋势、提升医药卫生事业高质量发展新效能、激活医药卫生事业发展新动力、建设医药卫生事业高质量发展新文化等方面开展研究。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12" w:lineRule="auto"/>
              <w:jc w:val="center"/>
              <w:rPr>
                <w:rFonts w:ascii="宋体" w:hAnsi="宋体" w:eastAsia="宋体" w:cs="宋体"/>
                <w:sz w:val="24"/>
              </w:rPr>
            </w:pPr>
            <w:r>
              <w:rPr>
                <w:rFonts w:hint="eastAsia" w:ascii="宋体" w:hAnsi="宋体" w:eastAsia="宋体" w:cs="宋体"/>
                <w:sz w:val="24"/>
              </w:rPr>
              <w:t>2</w:t>
            </w:r>
          </w:p>
        </w:tc>
        <w:tc>
          <w:tcPr>
            <w:tcW w:w="2782" w:type="dxa"/>
            <w:vAlign w:val="center"/>
          </w:tcPr>
          <w:p>
            <w:pPr>
              <w:spacing w:line="312" w:lineRule="auto"/>
              <w:jc w:val="left"/>
              <w:rPr>
                <w:rFonts w:ascii="宋体" w:hAnsi="宋体" w:eastAsia="宋体" w:cs="宋体"/>
                <w:sz w:val="24"/>
              </w:rPr>
            </w:pPr>
            <w:r>
              <w:rPr>
                <w:rFonts w:hint="eastAsia" w:ascii="宋体" w:hAnsi="宋体" w:eastAsia="宋体" w:cs="宋体"/>
                <w:sz w:val="24"/>
              </w:rPr>
              <w:t>医药卫生体制改革研究方向</w:t>
            </w:r>
          </w:p>
        </w:tc>
        <w:tc>
          <w:tcPr>
            <w:tcW w:w="10540" w:type="dxa"/>
            <w:vAlign w:val="center"/>
          </w:tcPr>
          <w:p>
            <w:pPr>
              <w:spacing w:line="312" w:lineRule="auto"/>
              <w:rPr>
                <w:rFonts w:hint="eastAsia" w:ascii="宋体" w:hAnsi="宋体" w:eastAsia="宋体" w:cs="宋体"/>
                <w:b w:val="0"/>
                <w:bCs w:val="0"/>
                <w:sz w:val="24"/>
              </w:rPr>
            </w:pPr>
            <w:r>
              <w:rPr>
                <w:rFonts w:hint="eastAsia" w:ascii="宋体" w:hAnsi="宋体" w:eastAsia="宋体" w:cs="宋体"/>
                <w:sz w:val="24"/>
              </w:rPr>
              <w:t>主要在落实习近平总书记2021年3月在视察沙县总医院时强调的“三明医改体现了人民至上、敢为人先，其经验值得各地因地制宜借鉴”讲话精神、总结、完善、学习和推广三明医改经验、厘清医药卫生体制改革内涵、提出医药卫生体制改革的方向与对策建议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12" w:lineRule="auto"/>
              <w:jc w:val="center"/>
              <w:rPr>
                <w:rFonts w:ascii="宋体" w:hAnsi="宋体" w:eastAsia="宋体" w:cs="宋体"/>
                <w:sz w:val="24"/>
              </w:rPr>
            </w:pPr>
            <w:r>
              <w:rPr>
                <w:rFonts w:hint="eastAsia" w:ascii="宋体" w:hAnsi="宋体" w:eastAsia="宋体" w:cs="宋体"/>
                <w:sz w:val="24"/>
              </w:rPr>
              <w:t>3</w:t>
            </w:r>
          </w:p>
        </w:tc>
        <w:tc>
          <w:tcPr>
            <w:tcW w:w="2782" w:type="dxa"/>
            <w:vAlign w:val="center"/>
          </w:tcPr>
          <w:p>
            <w:pPr>
              <w:numPr>
                <w:ilvl w:val="0"/>
                <w:numId w:val="0"/>
              </w:numPr>
              <w:spacing w:line="312" w:lineRule="auto"/>
              <w:jc w:val="left"/>
              <w:rPr>
                <w:rFonts w:ascii="宋体" w:hAnsi="宋体" w:eastAsia="宋体" w:cs="宋体"/>
                <w:sz w:val="24"/>
              </w:rPr>
            </w:pPr>
            <w:r>
              <w:rPr>
                <w:rFonts w:hint="eastAsia" w:ascii="宋体" w:hAnsi="宋体" w:eastAsia="宋体" w:cs="宋体"/>
                <w:sz w:val="24"/>
              </w:rPr>
              <w:t>卫生健康经济管理队伍建设</w:t>
            </w:r>
            <w:r>
              <w:rPr>
                <w:rFonts w:hint="eastAsia" w:ascii="宋体" w:hAnsi="宋体" w:eastAsia="宋体" w:cs="宋体"/>
                <w:sz w:val="24"/>
                <w:lang w:val="en-US" w:eastAsia="zh-CN"/>
              </w:rPr>
              <w:t>研究方向</w:t>
            </w:r>
          </w:p>
        </w:tc>
        <w:tc>
          <w:tcPr>
            <w:tcW w:w="10540" w:type="dxa"/>
            <w:vAlign w:val="center"/>
          </w:tcPr>
          <w:p>
            <w:pPr>
              <w:spacing w:line="312" w:lineRule="auto"/>
              <w:rPr>
                <w:rFonts w:hint="eastAsia" w:ascii="宋体" w:hAnsi="宋体" w:eastAsia="宋体" w:cs="宋体"/>
                <w:b w:val="0"/>
                <w:bCs w:val="0"/>
                <w:sz w:val="24"/>
              </w:rPr>
            </w:pPr>
            <w:r>
              <w:rPr>
                <w:rFonts w:hint="eastAsia" w:ascii="宋体" w:hAnsi="宋体" w:eastAsia="宋体" w:cs="宋体"/>
                <w:sz w:val="24"/>
              </w:rPr>
              <w:t>主要</w:t>
            </w:r>
            <w:r>
              <w:rPr>
                <w:rFonts w:hint="eastAsia" w:ascii="宋体" w:hAnsi="宋体" w:eastAsia="宋体" w:cs="宋体"/>
                <w:sz w:val="24"/>
                <w:lang w:val="en-US" w:eastAsia="zh-CN"/>
              </w:rPr>
              <w:t>围绕《</w:t>
            </w:r>
            <w:r>
              <w:rPr>
                <w:rFonts w:hint="eastAsia" w:ascii="宋体" w:hAnsi="宋体" w:eastAsia="宋体" w:cs="宋体"/>
                <w:sz w:val="24"/>
              </w:rPr>
              <w:t>卫生健康经济管理队伍建设</w:t>
            </w:r>
            <w:r>
              <w:rPr>
                <w:rFonts w:hint="eastAsia" w:ascii="宋体" w:hAnsi="宋体" w:eastAsia="宋体" w:cs="宋体"/>
                <w:sz w:val="24"/>
                <w:lang w:val="en-US" w:eastAsia="zh-CN"/>
              </w:rPr>
              <w:t>研究方向》等政策文件，</w:t>
            </w:r>
            <w:r>
              <w:rPr>
                <w:rFonts w:hint="eastAsia" w:ascii="宋体" w:hAnsi="宋体" w:eastAsia="宋体" w:cs="宋体"/>
                <w:sz w:val="24"/>
              </w:rPr>
              <w:t>在梳理发达国家高层次人才发展战略及创新人才培育经验、医药卫生事业急需紧缺人才现状调研、分析我国医药卫生管理人才培养及梯队建设方面的现状与存在问题、提出人才精准识别、科学遴选和梯次培养的机制、模式与建议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12" w:lineRule="auto"/>
              <w:jc w:val="center"/>
              <w:rPr>
                <w:rFonts w:ascii="宋体" w:hAnsi="宋体" w:eastAsia="宋体" w:cs="宋体"/>
                <w:sz w:val="24"/>
              </w:rPr>
            </w:pPr>
            <w:r>
              <w:rPr>
                <w:rFonts w:hint="eastAsia" w:ascii="宋体" w:hAnsi="宋体" w:eastAsia="宋体" w:cs="宋体"/>
                <w:sz w:val="24"/>
              </w:rPr>
              <w:t>4</w:t>
            </w:r>
          </w:p>
        </w:tc>
        <w:tc>
          <w:tcPr>
            <w:tcW w:w="2782" w:type="dxa"/>
            <w:vAlign w:val="center"/>
          </w:tcPr>
          <w:p>
            <w:pPr>
              <w:spacing w:line="312" w:lineRule="auto"/>
              <w:jc w:val="left"/>
              <w:rPr>
                <w:rFonts w:ascii="宋体" w:hAnsi="宋体" w:eastAsia="宋体" w:cs="宋体"/>
                <w:sz w:val="24"/>
              </w:rPr>
            </w:pPr>
            <w:r>
              <w:rPr>
                <w:rFonts w:hint="eastAsia" w:ascii="宋体" w:hAnsi="宋体" w:eastAsia="宋体" w:cs="宋体"/>
                <w:sz w:val="24"/>
              </w:rPr>
              <w:t>支付方式改革与卫生健康政策研究方向</w:t>
            </w:r>
          </w:p>
        </w:tc>
        <w:tc>
          <w:tcPr>
            <w:tcW w:w="10540" w:type="dxa"/>
            <w:vAlign w:val="center"/>
          </w:tcPr>
          <w:p>
            <w:pPr>
              <w:spacing w:line="312" w:lineRule="auto"/>
              <w:rPr>
                <w:rFonts w:ascii="宋体" w:hAnsi="宋体" w:eastAsia="宋体" w:cs="宋体"/>
                <w:b/>
                <w:bCs/>
                <w:sz w:val="24"/>
              </w:rPr>
            </w:pPr>
            <w:r>
              <w:rPr>
                <w:rFonts w:hint="eastAsia" w:ascii="宋体" w:hAnsi="宋体" w:eastAsia="宋体" w:cs="宋体"/>
                <w:sz w:val="24"/>
              </w:rPr>
              <w:t>主要在支付方式改革与医药健康产业政策的前瞻性研究、支付方式改革对医疗机构诊疗行为、服务结构、经济运行、运营管理等方面影响、支付方式改革背景下医疗机构运营模式创新、服务模式创新、管理模式创新以及新技术应的举措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12" w:lineRule="auto"/>
              <w:jc w:val="center"/>
              <w:rPr>
                <w:rFonts w:ascii="宋体" w:hAnsi="宋体" w:eastAsia="宋体" w:cs="宋体"/>
                <w:sz w:val="24"/>
              </w:rPr>
            </w:pPr>
            <w:r>
              <w:rPr>
                <w:rFonts w:hint="eastAsia" w:ascii="宋体" w:hAnsi="宋体" w:eastAsia="宋体" w:cs="宋体"/>
                <w:sz w:val="24"/>
              </w:rPr>
              <w:t>5</w:t>
            </w:r>
          </w:p>
        </w:tc>
        <w:tc>
          <w:tcPr>
            <w:tcW w:w="2782" w:type="dxa"/>
            <w:vAlign w:val="center"/>
          </w:tcPr>
          <w:p>
            <w:pPr>
              <w:spacing w:line="360" w:lineRule="auto"/>
              <w:jc w:val="left"/>
              <w:rPr>
                <w:rFonts w:ascii="宋体" w:hAnsi="宋体" w:eastAsia="宋体" w:cs="宋体"/>
                <w:sz w:val="24"/>
              </w:rPr>
            </w:pPr>
            <w:r>
              <w:rPr>
                <w:rFonts w:hint="eastAsia" w:ascii="宋体" w:hAnsi="宋体" w:eastAsia="宋体" w:cs="宋体"/>
                <w:sz w:val="24"/>
              </w:rPr>
              <w:t>医药卫生领域数字经济发展研究方向</w:t>
            </w:r>
          </w:p>
        </w:tc>
        <w:tc>
          <w:tcPr>
            <w:tcW w:w="10540" w:type="dxa"/>
            <w:vAlign w:val="center"/>
          </w:tcPr>
          <w:p>
            <w:pPr>
              <w:spacing w:line="360" w:lineRule="auto"/>
              <w:rPr>
                <w:rFonts w:hint="eastAsia" w:ascii="宋体" w:hAnsi="宋体" w:eastAsia="宋体" w:cs="宋体"/>
                <w:b w:val="0"/>
                <w:bCs w:val="0"/>
                <w:sz w:val="24"/>
              </w:rPr>
            </w:pPr>
            <w:r>
              <w:rPr>
                <w:rFonts w:hint="eastAsia" w:ascii="宋体" w:hAnsi="宋体" w:eastAsia="宋体" w:cs="宋体"/>
                <w:sz w:val="24"/>
              </w:rPr>
              <w:t>主要在深化国务院《“十四五”数字经济发展规划》和《会计改革与发展“十四五”规划纲要》等政策文件精神，推动医药会计行业运用新技术推动会计工作数字化转型，进一步提升会计数据要素服务单位价值创造，在会计信息化数据标准、管理制度、信息系统以及人才建设等方面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spacing w:line="312"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6</w:t>
            </w:r>
          </w:p>
        </w:tc>
        <w:tc>
          <w:tcPr>
            <w:tcW w:w="2782" w:type="dxa"/>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医药</w:t>
            </w:r>
            <w:r>
              <w:rPr>
                <w:rFonts w:hint="eastAsia" w:ascii="宋体" w:hAnsi="宋体" w:eastAsia="宋体" w:cs="宋体"/>
                <w:sz w:val="24"/>
                <w:lang w:val="en-US" w:eastAsia="zh-CN"/>
              </w:rPr>
              <w:t>财务</w:t>
            </w:r>
            <w:r>
              <w:rPr>
                <w:rFonts w:hint="eastAsia" w:ascii="宋体" w:hAnsi="宋体" w:eastAsia="宋体" w:cs="宋体"/>
                <w:sz w:val="24"/>
                <w:szCs w:val="24"/>
                <w:lang w:val="en-US" w:eastAsia="zh-CN"/>
              </w:rPr>
              <w:t>对标世界一流财务管理体系研究方向</w:t>
            </w:r>
          </w:p>
        </w:tc>
        <w:tc>
          <w:tcPr>
            <w:tcW w:w="10540" w:type="dxa"/>
            <w:vAlign w:val="center"/>
          </w:tcPr>
          <w:p>
            <w:pPr>
              <w:pStyle w:val="4"/>
              <w:widowControl/>
              <w:spacing w:line="360" w:lineRule="auto"/>
              <w:rPr>
                <w:rFonts w:hint="default" w:ascii="宋体" w:hAnsi="宋体" w:eastAsia="宋体" w:cs="宋体"/>
                <w:sz w:val="24"/>
                <w:lang w:val="en-US" w:eastAsia="zh-CN"/>
              </w:rPr>
            </w:pPr>
            <w:r>
              <w:rPr>
                <w:rFonts w:hint="eastAsia" w:ascii="宋体" w:hAnsi="宋体" w:eastAsia="宋体" w:cs="宋体"/>
                <w:kern w:val="2"/>
                <w:sz w:val="24"/>
                <w:lang w:val="en-US" w:eastAsia="zh-CN" w:bidi="ar-SA"/>
              </w:rPr>
              <w:t>主要围绕《</w:t>
            </w:r>
            <w:r>
              <w:rPr>
                <w:rFonts w:hint="eastAsia" w:ascii="宋体" w:hAnsi="宋体" w:eastAsia="宋体" w:cs="宋体"/>
                <w:kern w:val="2"/>
                <w:lang w:bidi="ar-SA"/>
              </w:rPr>
              <w:t>关于中央企业加快建设世界一流财务管理体系的指导意见</w:t>
            </w:r>
            <w:r>
              <w:rPr>
                <w:rFonts w:hint="eastAsia" w:ascii="宋体" w:hAnsi="宋体" w:eastAsia="宋体" w:cs="宋体"/>
                <w:kern w:val="2"/>
                <w:lang w:eastAsia="zh-CN" w:bidi="ar-SA"/>
              </w:rPr>
              <w:t>》</w:t>
            </w:r>
            <w:r>
              <w:rPr>
                <w:rFonts w:hint="eastAsia" w:ascii="宋体" w:hAnsi="宋体" w:eastAsia="宋体" w:cs="宋体"/>
                <w:kern w:val="2"/>
                <w:lang w:val="en-US" w:eastAsia="zh-CN" w:bidi="ar-SA"/>
              </w:rPr>
              <w:t>等政策文件，总结国内外</w:t>
            </w:r>
            <w:r>
              <w:rPr>
                <w:rFonts w:hint="eastAsia" w:ascii="宋体" w:hAnsi="宋体" w:eastAsia="宋体" w:cs="宋体"/>
                <w:sz w:val="24"/>
                <w:szCs w:val="24"/>
              </w:rPr>
              <w:t>医疗机构、医药企业或医疗器械公司</w:t>
            </w:r>
            <w:r>
              <w:rPr>
                <w:rFonts w:hint="eastAsia" w:ascii="宋体" w:hAnsi="宋体" w:eastAsia="宋体" w:cs="宋体"/>
                <w:sz w:val="24"/>
                <w:szCs w:val="24"/>
                <w:lang w:val="en-US" w:eastAsia="zh-CN"/>
              </w:rPr>
              <w:t>一流财务管理体系建设经验，在财务管理理念变革、财务管理组织变革、财务管理功能手段变革、财务管理机制变革等方面开展研究。</w:t>
            </w:r>
          </w:p>
        </w:tc>
      </w:tr>
    </w:tbl>
    <w:p>
      <w:pPr>
        <w:spacing w:line="312" w:lineRule="auto"/>
        <w:ind w:firstLine="0" w:firstLineChars="0"/>
        <w:rPr>
          <w:sz w:val="24"/>
          <w:szCs w:val="32"/>
        </w:rPr>
      </w:pPr>
      <w:bookmarkStart w:id="0" w:name="_GoBack"/>
      <w:bookmarkEnd w:id="0"/>
    </w:p>
    <w:sectPr>
      <w:pgSz w:w="16838" w:h="11906" w:orient="landscape"/>
      <w:pgMar w:top="1020"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ZDJkYzYyYjQ4NjYyN2NjMmNkYmU0ODc3NTIyOTMifQ=="/>
  </w:docVars>
  <w:rsids>
    <w:rsidRoot w:val="04E72C08"/>
    <w:rsid w:val="005F5D19"/>
    <w:rsid w:val="007724C7"/>
    <w:rsid w:val="00CA449E"/>
    <w:rsid w:val="03CD1261"/>
    <w:rsid w:val="04E72C08"/>
    <w:rsid w:val="066C423A"/>
    <w:rsid w:val="14517395"/>
    <w:rsid w:val="24A41A22"/>
    <w:rsid w:val="2DB30A48"/>
    <w:rsid w:val="34931C5F"/>
    <w:rsid w:val="4DE93505"/>
    <w:rsid w:val="522B4A48"/>
    <w:rsid w:val="56FB5C63"/>
    <w:rsid w:val="5D8F574F"/>
    <w:rsid w:val="7C83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856</Characters>
  <Lines>5</Lines>
  <Paragraphs>1</Paragraphs>
  <TotalTime>4</TotalTime>
  <ScaleCrop>false</ScaleCrop>
  <LinksUpToDate>false</LinksUpToDate>
  <CharactersWithSpaces>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2022-03-31T07:08:00Z</dcterms:created>
  <dc:creator>余亦雯</dc:creator>
  <cp:lastModifiedBy>快乐的猪</cp:lastModifiedBy>
  <dcterms:modified xsi:type="dcterms:W3CDTF">2023-04-14T01:10:43Z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09A0B6A59AC64458BDE55D9FABFE19FE</vt:lpwstr>
  </property>
</Properties>
</file>